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1862D1" w14:textId="77777777" w:rsidR="00406CED" w:rsidRPr="00D627EC" w:rsidRDefault="00406CED" w:rsidP="008A46F0">
      <w:pPr>
        <w:spacing w:after="0" w:line="360" w:lineRule="auto"/>
        <w:jc w:val="center"/>
        <w:outlineLvl w:val="1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</w:p>
    <w:p w14:paraId="04E6B419" w14:textId="0A15A99B" w:rsidR="00B038F0" w:rsidRPr="00D627EC" w:rsidRDefault="00B038F0" w:rsidP="008A46F0">
      <w:pPr>
        <w:spacing w:after="0" w:line="360" w:lineRule="auto"/>
        <w:jc w:val="center"/>
        <w:outlineLvl w:val="1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PROJEKT UMOWY DOSTAWY SPRZĘTU I OPROGRAMOWANIA</w:t>
      </w:r>
    </w:p>
    <w:p w14:paraId="4D06B245" w14:textId="77777777" w:rsidR="008A46F0" w:rsidRPr="00D627EC" w:rsidRDefault="008A46F0" w:rsidP="008A46F0">
      <w:pPr>
        <w:spacing w:after="0" w:line="360" w:lineRule="auto"/>
        <w:jc w:val="center"/>
        <w:outlineLvl w:val="1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</w:p>
    <w:p w14:paraId="567F9B1B" w14:textId="047F6A94" w:rsidR="00B038F0" w:rsidRPr="00D627EC" w:rsidRDefault="00B038F0" w:rsidP="008A46F0">
      <w:pPr>
        <w:spacing w:after="0" w:line="360" w:lineRule="auto"/>
        <w:jc w:val="both"/>
        <w:rPr>
          <w:rFonts w:ascii="Calibri" w:eastAsia="Times New Roman" w:hAnsi="Calibri" w:cs="Calibri"/>
          <w:i/>
          <w:iCs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i/>
          <w:iCs/>
          <w:kern w:val="0"/>
          <w:sz w:val="22"/>
          <w:szCs w:val="22"/>
          <w:lang w:eastAsia="pl-PL"/>
          <w14:ligatures w14:val="none"/>
        </w:rPr>
        <w:t>dla postępowania o udzielenie zamówienia publicznego</w:t>
      </w:r>
      <w:r w:rsidR="008A46F0" w:rsidRPr="00D627EC">
        <w:rPr>
          <w:rFonts w:ascii="Calibri" w:eastAsia="Times New Roman" w:hAnsi="Calibri" w:cs="Calibri"/>
          <w:i/>
          <w:iCs/>
          <w:kern w:val="0"/>
          <w:sz w:val="22"/>
          <w:szCs w:val="22"/>
          <w:lang w:eastAsia="pl-PL"/>
          <w14:ligatures w14:val="none"/>
        </w:rPr>
        <w:t xml:space="preserve"> </w:t>
      </w:r>
      <w:r w:rsidRPr="00D627EC">
        <w:rPr>
          <w:rFonts w:ascii="Calibri" w:eastAsia="Times New Roman" w:hAnsi="Calibri" w:cs="Calibri"/>
          <w:i/>
          <w:iCs/>
          <w:kern w:val="0"/>
          <w:sz w:val="22"/>
          <w:szCs w:val="22"/>
          <w:lang w:eastAsia="pl-PL"/>
          <w14:ligatures w14:val="none"/>
        </w:rPr>
        <w:t xml:space="preserve">współfinansowanego ze środków Unii Europejskiej w ramach instrumentu Krajowego Planu Odbudowy i Zwiększania Odporności (KPO) dla przedsięwzięć realizowanych w ramach inwestycji D1.1.2 „Przyspieszenie procesów transformacji cyfrowej ochrony zdrowia poprzez dalszy rozwój usług cyfrowych w ochronie </w:t>
      </w:r>
      <w:proofErr w:type="spellStart"/>
      <w:r w:rsidRPr="00D627EC">
        <w:rPr>
          <w:rFonts w:ascii="Calibri" w:eastAsia="Times New Roman" w:hAnsi="Calibri" w:cs="Calibri"/>
          <w:i/>
          <w:iCs/>
          <w:kern w:val="0"/>
          <w:sz w:val="22"/>
          <w:szCs w:val="22"/>
          <w:lang w:eastAsia="pl-PL"/>
          <w14:ligatures w14:val="none"/>
        </w:rPr>
        <w:t>zdrowia”,będącej</w:t>
      </w:r>
      <w:proofErr w:type="spellEnd"/>
      <w:r w:rsidRPr="00D627EC">
        <w:rPr>
          <w:rFonts w:ascii="Calibri" w:eastAsia="Times New Roman" w:hAnsi="Calibri" w:cs="Calibri"/>
          <w:i/>
          <w:iCs/>
          <w:kern w:val="0"/>
          <w:sz w:val="22"/>
          <w:szCs w:val="22"/>
          <w:lang w:eastAsia="pl-PL"/>
          <w14:ligatures w14:val="none"/>
        </w:rPr>
        <w:t xml:space="preserve"> elementem komponentu D „Efektywność, dostępność i jakość systemu ochrony zdrowia”.</w:t>
      </w:r>
    </w:p>
    <w:p w14:paraId="786E4714" w14:textId="77777777" w:rsidR="00B038F0" w:rsidRPr="00D627EC" w:rsidRDefault="00B038F0" w:rsidP="008A46F0">
      <w:pPr>
        <w:spacing w:after="0" w:line="360" w:lineRule="auto"/>
        <w:jc w:val="both"/>
        <w:outlineLvl w:val="2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§ 1. Strony umowy</w:t>
      </w:r>
    </w:p>
    <w:p w14:paraId="39A9B62A" w14:textId="77777777" w:rsidR="00B038F0" w:rsidRPr="00D627EC" w:rsidRDefault="00B038F0" w:rsidP="008A46F0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142" w:firstLine="0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Zamawiający: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>.............................................................................................................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>adres: ...................................................................................................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>NIP: ........................................... REGON: ....................................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>reprezentowany przez: ...............................................................</w:t>
      </w:r>
    </w:p>
    <w:p w14:paraId="3EBE3250" w14:textId="77777777" w:rsidR="00B038F0" w:rsidRPr="00D627EC" w:rsidRDefault="00B038F0" w:rsidP="008A46F0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142" w:firstLine="0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Wykonawca: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>.............................................................................................................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>adres: ...................................................................................................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>NIP: ........................................... REGON: ....................................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>reprezentowany przez: ...............................................................</w:t>
      </w:r>
    </w:p>
    <w:p w14:paraId="1FCB08FF" w14:textId="784865C2" w:rsidR="00B038F0" w:rsidRPr="00D627EC" w:rsidRDefault="00B038F0" w:rsidP="008A46F0">
      <w:p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Zamawiający i Wykonawca zwani dalej łącznie „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Stronami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”, a osobno „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Stroną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”.</w:t>
      </w:r>
    </w:p>
    <w:p w14:paraId="2058E612" w14:textId="77777777" w:rsidR="008A46F0" w:rsidRPr="00D627EC" w:rsidRDefault="008A46F0" w:rsidP="008A46F0">
      <w:p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4B24E5AB" w14:textId="77777777" w:rsidR="00B038F0" w:rsidRPr="00D627EC" w:rsidRDefault="00B038F0" w:rsidP="008A46F0">
      <w:pPr>
        <w:spacing w:after="0" w:line="360" w:lineRule="auto"/>
        <w:jc w:val="both"/>
        <w:outlineLvl w:val="2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§ 2. Przedmiot umowy</w:t>
      </w:r>
    </w:p>
    <w:p w14:paraId="618BB274" w14:textId="34F9920A" w:rsidR="00B038F0" w:rsidRPr="00D627EC" w:rsidRDefault="00B038F0" w:rsidP="008A46F0">
      <w:pPr>
        <w:numPr>
          <w:ilvl w:val="0"/>
          <w:numId w:val="2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Przedmiotem umowy jest 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dostawa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w zakresie sprzętu komputerowego określonych w 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Opisie Przedmiotu Zamówienia (OPZ)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stanowiącym 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Załącznik nr 1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do umowy.</w:t>
      </w:r>
    </w:p>
    <w:p w14:paraId="4749E41B" w14:textId="3668B122" w:rsidR="00B038F0" w:rsidRPr="00D627EC" w:rsidRDefault="00B038F0" w:rsidP="008A46F0">
      <w:pPr>
        <w:numPr>
          <w:ilvl w:val="0"/>
          <w:numId w:val="2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Dostarczony sprzęt</w:t>
      </w:r>
      <w:r w:rsidR="004F035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muszą spełniać wymogi w zakresie </w:t>
      </w:r>
      <w:proofErr w:type="spellStart"/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cyberbezpieczeństwa</w:t>
      </w:r>
      <w:proofErr w:type="spellEnd"/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, interoperacyjności i kompatybilności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zgodnie z OPZ oraz obowiązującymi normami i przepisami, w szczególności:</w:t>
      </w:r>
    </w:p>
    <w:p w14:paraId="78C0C316" w14:textId="77777777" w:rsidR="00B038F0" w:rsidRPr="00D627EC" w:rsidRDefault="00B038F0" w:rsidP="008A46F0">
      <w:pPr>
        <w:numPr>
          <w:ilvl w:val="1"/>
          <w:numId w:val="2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rozporządzeniem RODO (UE 2016/679),</w:t>
      </w:r>
    </w:p>
    <w:p w14:paraId="160916AF" w14:textId="77777777" w:rsidR="00B038F0" w:rsidRPr="00D627EC" w:rsidRDefault="00B038F0" w:rsidP="008A46F0">
      <w:pPr>
        <w:numPr>
          <w:ilvl w:val="1"/>
          <w:numId w:val="2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ustawą z dnia 5 lipca 2018 r. o krajowym systemie </w:t>
      </w:r>
      <w:proofErr w:type="spellStart"/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cyberbezpieczeństwa</w:t>
      </w:r>
      <w:proofErr w:type="spellEnd"/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,</w:t>
      </w:r>
    </w:p>
    <w:p w14:paraId="75B7FC6E" w14:textId="77777777" w:rsidR="00B038F0" w:rsidRPr="00D627EC" w:rsidRDefault="00B038F0" w:rsidP="008A46F0">
      <w:pPr>
        <w:numPr>
          <w:ilvl w:val="1"/>
          <w:numId w:val="2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wytycznymi i standardami bezpieczeństwa IT (m.in. ISO/IEC 27001, NIST, CIS </w:t>
      </w:r>
      <w:proofErr w:type="spellStart"/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Benchmarks</w:t>
      </w:r>
      <w:proofErr w:type="spellEnd"/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),</w:t>
      </w:r>
    </w:p>
    <w:p w14:paraId="2E5C0564" w14:textId="77777777" w:rsidR="00B038F0" w:rsidRPr="00D627EC" w:rsidRDefault="00B038F0" w:rsidP="008A46F0">
      <w:pPr>
        <w:numPr>
          <w:ilvl w:val="1"/>
          <w:numId w:val="2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wymogami bezpieczeństwa określonymi przez Ministerstwo Zdrowia i CSIOZ.</w:t>
      </w:r>
    </w:p>
    <w:p w14:paraId="1B47A9DE" w14:textId="77777777" w:rsidR="00B038F0" w:rsidRPr="00D627EC" w:rsidRDefault="00B038F0" w:rsidP="008A46F0">
      <w:pPr>
        <w:numPr>
          <w:ilvl w:val="0"/>
          <w:numId w:val="2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lastRenderedPageBreak/>
        <w:t>Wykonawca zobowiązuje się do zapewnienia kompatybilności dostarczonych rozwiązań z istniejącą infrastrukturą informatyczną Zamawiającego.</w:t>
      </w:r>
    </w:p>
    <w:p w14:paraId="274C69A4" w14:textId="77777777" w:rsidR="00B038F0" w:rsidRPr="00D627EC" w:rsidRDefault="00B038F0" w:rsidP="008A46F0">
      <w:pPr>
        <w:numPr>
          <w:ilvl w:val="0"/>
          <w:numId w:val="2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Wykonawca zapewni przekazanie pełnej dokumentacji technicznej, licencji, instrukcji obsługi i certyfikatów sprzętu i oprogramowania.</w:t>
      </w:r>
    </w:p>
    <w:p w14:paraId="5F3DD741" w14:textId="0DFA99F6" w:rsidR="008A46F0" w:rsidRPr="00D627EC" w:rsidRDefault="00B038F0" w:rsidP="00D627EC">
      <w:pPr>
        <w:numPr>
          <w:ilvl w:val="0"/>
          <w:numId w:val="2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Przedmiot umowy obejmuje również świadczenie usług gwarancyjnych i wsparcia technicznego w okresie gwarancji.</w:t>
      </w:r>
    </w:p>
    <w:p w14:paraId="271FCE73" w14:textId="3D865C49" w:rsidR="00B038F0" w:rsidRPr="00D627EC" w:rsidRDefault="00B038F0" w:rsidP="008A46F0">
      <w:pPr>
        <w:spacing w:after="0" w:line="360" w:lineRule="auto"/>
        <w:jc w:val="both"/>
        <w:outlineLvl w:val="2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§ </w:t>
      </w:r>
      <w:r w:rsidR="00720C69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3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. </w:t>
      </w:r>
      <w:r w:rsidRPr="290E26CC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Termin realizacji</w:t>
      </w:r>
    </w:p>
    <w:p w14:paraId="46B433EB" w14:textId="4692E4B6" w:rsidR="00D627EC" w:rsidRPr="00D627EC" w:rsidRDefault="004F035C" w:rsidP="00D627EC">
      <w:pPr>
        <w:numPr>
          <w:ilvl w:val="0"/>
          <w:numId w:val="4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D</w:t>
      </w:r>
      <w:r w:rsidR="00D627EC"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o </w:t>
      </w:r>
      <w:r w:rsidR="002F6FE0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60</w:t>
      </w:r>
      <w:r w:rsidR="00D627EC"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 dni</w:t>
      </w:r>
      <w:r w:rsidR="00D627EC"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od dnia podpisania umowy.</w:t>
      </w:r>
    </w:p>
    <w:p w14:paraId="4246709E" w14:textId="5ECD6FC7" w:rsidR="00B038F0" w:rsidRPr="00D627EC" w:rsidRDefault="00B038F0" w:rsidP="008A46F0">
      <w:pPr>
        <w:numPr>
          <w:ilvl w:val="0"/>
          <w:numId w:val="4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Za zakończenie realizacji uznaje się podpisanie 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protokołu odbioru końcowego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bez zastrzeżeń.</w:t>
      </w:r>
    </w:p>
    <w:p w14:paraId="285E7746" w14:textId="77777777" w:rsidR="008A46F0" w:rsidRPr="00D627EC" w:rsidRDefault="008A46F0" w:rsidP="008A46F0">
      <w:pPr>
        <w:spacing w:after="0" w:line="360" w:lineRule="auto"/>
        <w:ind w:left="720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235B3478" w14:textId="1E844057" w:rsidR="00B038F0" w:rsidRPr="00D627EC" w:rsidRDefault="00B038F0" w:rsidP="008A46F0">
      <w:pPr>
        <w:spacing w:after="0" w:line="360" w:lineRule="auto"/>
        <w:jc w:val="both"/>
        <w:outlineLvl w:val="2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§ </w:t>
      </w:r>
      <w:r w:rsidR="00720C69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4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. Wynagrodzenie i warunki płatności</w:t>
      </w:r>
    </w:p>
    <w:p w14:paraId="7CF8959D" w14:textId="2D57532B" w:rsidR="00B038F0" w:rsidRPr="00D627EC" w:rsidRDefault="00B038F0" w:rsidP="008A46F0">
      <w:pPr>
        <w:numPr>
          <w:ilvl w:val="0"/>
          <w:numId w:val="5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Całkowite wynagrodzenie </w:t>
      </w:r>
      <w:r w:rsidR="00511C7E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netto</w:t>
      </w:r>
      <w:r w:rsidR="00511C7E"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wynosi </w:t>
      </w:r>
      <w:r w:rsidR="00511C7E"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…………… zł (słownie: ________________)</w:t>
      </w:r>
      <w:r w:rsidR="00511C7E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, 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brutto wynosi 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…………… zł (słownie: </w:t>
      </w:r>
      <w:r w:rsidR="008A46F0"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________________)</w:t>
      </w:r>
    </w:p>
    <w:p w14:paraId="6790A6D0" w14:textId="77777777" w:rsidR="00B038F0" w:rsidRPr="00D627EC" w:rsidRDefault="00B038F0" w:rsidP="008A46F0">
      <w:pPr>
        <w:numPr>
          <w:ilvl w:val="0"/>
          <w:numId w:val="5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Wynagrodzenie ma charakter 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ryczałtowy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i obejmuje wszystkie koszty realizacji umowy.</w:t>
      </w:r>
    </w:p>
    <w:p w14:paraId="335C604A" w14:textId="769B30CD" w:rsidR="00B038F0" w:rsidRPr="00D627EC" w:rsidRDefault="00B038F0" w:rsidP="008A46F0">
      <w:pPr>
        <w:numPr>
          <w:ilvl w:val="0"/>
          <w:numId w:val="5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Zapłata nastąpi po odbiorze końcowym, na podstawie prawidłowo wystawionej faktury, w terminie 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10 dni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od daty jej doręczenia Zamawiającemu.</w:t>
      </w:r>
    </w:p>
    <w:p w14:paraId="4BC529F0" w14:textId="77777777" w:rsidR="008A46F0" w:rsidRPr="00D627EC" w:rsidRDefault="008A46F0" w:rsidP="008A46F0">
      <w:pPr>
        <w:numPr>
          <w:ilvl w:val="0"/>
          <w:numId w:val="5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Zamawiający wyraża zgodę na przesyłanie, w tym udostępnianie faktur VAT w formie elektronicznej na adres e-mail: ________________________ </w:t>
      </w:r>
    </w:p>
    <w:p w14:paraId="65E6A970" w14:textId="77777777" w:rsidR="008A46F0" w:rsidRPr="00D627EC" w:rsidRDefault="008A46F0" w:rsidP="008A46F0">
      <w:pPr>
        <w:numPr>
          <w:ilvl w:val="0"/>
          <w:numId w:val="5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Płatność za fakturę dokonana zostanie przelewem na konto Wykonawcy w banku -_____________________________________________________ w terminie 7 dni od dnia złożenia prawidłowo wystawionej faktury w siedzibie Zamawiającego.</w:t>
      </w:r>
    </w:p>
    <w:p w14:paraId="5CFF11F1" w14:textId="77777777" w:rsidR="008A46F0" w:rsidRPr="00D627EC" w:rsidRDefault="008A46F0" w:rsidP="008A46F0">
      <w:pPr>
        <w:numPr>
          <w:ilvl w:val="0"/>
          <w:numId w:val="5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Wykonawca w ciągu 3 dni od podpisania Protokołu odbioru końcowego dostarczy fakturę do siedziby Zamawiającego lub prześle ustrukturyzowaną fakturę elektroniczną. </w:t>
      </w:r>
    </w:p>
    <w:p w14:paraId="406025BD" w14:textId="77777777" w:rsidR="008A46F0" w:rsidRPr="00D627EC" w:rsidRDefault="008A46F0" w:rsidP="008A46F0">
      <w:pPr>
        <w:numPr>
          <w:ilvl w:val="0"/>
          <w:numId w:val="5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Za termin płatności uznaje się datę obciążenia rachunku bankowego Zamawiającego.  </w:t>
      </w:r>
    </w:p>
    <w:p w14:paraId="3AE9468F" w14:textId="70B1706D" w:rsidR="00B038F0" w:rsidRPr="00D627EC" w:rsidRDefault="008A46F0" w:rsidP="008A46F0">
      <w:pPr>
        <w:numPr>
          <w:ilvl w:val="0"/>
          <w:numId w:val="5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Zamawiający zastrzega sobie prawo do potrącania z wynagrodzenia, o którym mowa w ust. 2 należnego Wykonawcy, z tytułu realizacji niniejszej umowy, ewentualnych roszczeń z tytułu szkód i kar umownych.</w:t>
      </w:r>
    </w:p>
    <w:p w14:paraId="270D38F1" w14:textId="696ADEBC" w:rsidR="00B038F0" w:rsidRPr="00D627EC" w:rsidRDefault="00B038F0" w:rsidP="008A46F0">
      <w:pPr>
        <w:numPr>
          <w:ilvl w:val="0"/>
          <w:numId w:val="5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Podstawą wystawienia faktury jest 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protokół odbioru końcowego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.</w:t>
      </w:r>
    </w:p>
    <w:p w14:paraId="225FB44B" w14:textId="77777777" w:rsidR="008A46F0" w:rsidRPr="00D627EC" w:rsidRDefault="008A46F0" w:rsidP="008A46F0">
      <w:pPr>
        <w:spacing w:after="0" w:line="360" w:lineRule="auto"/>
        <w:ind w:left="720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414E3790" w14:textId="1E93A00B" w:rsidR="00B038F0" w:rsidRPr="00D627EC" w:rsidRDefault="00B038F0" w:rsidP="008A46F0">
      <w:pPr>
        <w:spacing w:after="0" w:line="360" w:lineRule="auto"/>
        <w:jc w:val="both"/>
        <w:outlineLvl w:val="2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§ </w:t>
      </w:r>
      <w:r w:rsidR="00720C69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5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. Odbiory i testy bezpieczeństwa</w:t>
      </w:r>
    </w:p>
    <w:p w14:paraId="70B66A1F" w14:textId="77777777" w:rsidR="00B038F0" w:rsidRPr="00D627EC" w:rsidRDefault="00B038F0" w:rsidP="008A46F0">
      <w:pPr>
        <w:numPr>
          <w:ilvl w:val="0"/>
          <w:numId w:val="6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Odbiór następuje w obecności przedstawicieli obu Stron i jest potwierdzany protokołem.</w:t>
      </w:r>
    </w:p>
    <w:p w14:paraId="73C3B167" w14:textId="1916B967" w:rsidR="00540377" w:rsidRPr="00D627EC" w:rsidRDefault="00B038F0" w:rsidP="00540377">
      <w:pPr>
        <w:numPr>
          <w:ilvl w:val="0"/>
          <w:numId w:val="6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W przypadku wykrycia niezgodności lub zagrożeń bezpieczeństwa, Wykonawca usunie je na własny koszt przed podpisaniem protokołu końcowego.</w:t>
      </w:r>
    </w:p>
    <w:p w14:paraId="264C4AE9" w14:textId="77777777" w:rsidR="00540377" w:rsidRPr="00D627EC" w:rsidRDefault="00540377" w:rsidP="00540377">
      <w:pPr>
        <w:spacing w:after="0" w:line="360" w:lineRule="auto"/>
        <w:ind w:left="720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23FA8A4D" w14:textId="7406356A" w:rsidR="008A46F0" w:rsidRPr="00D627EC" w:rsidRDefault="008A46F0" w:rsidP="008A46F0">
      <w:pPr>
        <w:spacing w:after="0" w:line="240" w:lineRule="auto"/>
        <w:textAlignment w:val="baseline"/>
        <w:rPr>
          <w:rStyle w:val="markedcontent"/>
          <w:rFonts w:ascii="Calibri" w:hAnsi="Calibri" w:cs="Calibri"/>
          <w:b/>
          <w:color w:val="000000"/>
          <w:sz w:val="22"/>
          <w:szCs w:val="22"/>
        </w:rPr>
      </w:pPr>
      <w:r w:rsidRPr="00D627EC">
        <w:rPr>
          <w:rStyle w:val="markedcontent"/>
          <w:rFonts w:ascii="Calibri" w:hAnsi="Calibri" w:cs="Calibri"/>
          <w:b/>
          <w:color w:val="000000"/>
          <w:sz w:val="22"/>
          <w:szCs w:val="22"/>
        </w:rPr>
        <w:t xml:space="preserve">§ </w:t>
      </w:r>
      <w:r w:rsidR="00720C69">
        <w:rPr>
          <w:rStyle w:val="markedcontent"/>
          <w:rFonts w:ascii="Calibri" w:hAnsi="Calibri" w:cs="Calibri"/>
          <w:b/>
          <w:color w:val="000000"/>
          <w:sz w:val="22"/>
          <w:szCs w:val="22"/>
        </w:rPr>
        <w:t>6</w:t>
      </w:r>
      <w:r w:rsidRPr="00D627EC">
        <w:rPr>
          <w:rStyle w:val="markedcontent"/>
          <w:rFonts w:ascii="Calibri" w:hAnsi="Calibri" w:cs="Calibri"/>
          <w:b/>
          <w:color w:val="000000"/>
          <w:sz w:val="22"/>
          <w:szCs w:val="22"/>
        </w:rPr>
        <w:t>. Oświadczenia Wykonawcy</w:t>
      </w:r>
    </w:p>
    <w:p w14:paraId="5D98813D" w14:textId="77777777" w:rsidR="008A46F0" w:rsidRPr="00D627EC" w:rsidRDefault="008A46F0" w:rsidP="00406CED">
      <w:pPr>
        <w:numPr>
          <w:ilvl w:val="0"/>
          <w:numId w:val="16"/>
        </w:numPr>
        <w:spacing w:after="0" w:line="360" w:lineRule="auto"/>
        <w:jc w:val="both"/>
        <w:textAlignment w:val="baseline"/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</w:pPr>
      <w:r w:rsidRPr="00D627EC"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  <w:t>Wykonawca oświadcza, że znana/y jest mu:</w:t>
      </w:r>
    </w:p>
    <w:p w14:paraId="3EA2F620" w14:textId="36E7AB0A" w:rsidR="008A46F0" w:rsidRPr="00D627EC" w:rsidRDefault="008A46F0" w:rsidP="00406CED">
      <w:pPr>
        <w:pStyle w:val="Akapitzlist"/>
        <w:numPr>
          <w:ilvl w:val="1"/>
          <w:numId w:val="17"/>
        </w:numPr>
        <w:spacing w:after="0" w:line="360" w:lineRule="auto"/>
        <w:jc w:val="both"/>
        <w:textAlignment w:val="baseline"/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</w:pPr>
      <w:r w:rsidRPr="00D627EC"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  <w:t xml:space="preserve">treść ustawy z dnia 13 kwietnia 2022 roku </w:t>
      </w:r>
      <w:r w:rsidRPr="00D627EC">
        <w:rPr>
          <w:rFonts w:ascii="Calibri" w:eastAsia="Times New Roman" w:hAnsi="Calibri" w:cs="Calibri"/>
          <w:color w:val="000000"/>
          <w:sz w:val="22"/>
          <w:szCs w:val="22"/>
          <w:lang w:eastAsia="pl-PL"/>
        </w:rPr>
        <w:t xml:space="preserve">o szczególnych rozwiązaniach w zakresie przeciwdziałania wspieraniu agresji na Ukrainę oraz służących ochronie bezpieczeństwa (Dz. U. z 2024 r. poz. 507), </w:t>
      </w:r>
      <w:r w:rsidRPr="00D627EC"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  <w:t xml:space="preserve">zwanej dalej jako „Ustawa” </w:t>
      </w:r>
      <w:r w:rsidRPr="00D627EC">
        <w:rPr>
          <w:rFonts w:ascii="Calibri" w:eastAsia="Times New Roman" w:hAnsi="Calibri" w:cs="Calibri"/>
          <w:color w:val="000000"/>
          <w:sz w:val="22"/>
          <w:szCs w:val="22"/>
          <w:lang w:eastAsia="pl-PL"/>
        </w:rPr>
        <w:t>i nie zachodzą w stosunku do niego przesłanki wykluczenia z postępowania na podstawie art. 7 ust. 1</w:t>
      </w:r>
      <w:r w:rsidRPr="00D627EC"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  <w:t xml:space="preserve"> pkt 1-3; </w:t>
      </w:r>
    </w:p>
    <w:p w14:paraId="0CC8F1DC" w14:textId="77777777" w:rsidR="008A46F0" w:rsidRPr="00D627EC" w:rsidRDefault="008A46F0" w:rsidP="00406CED">
      <w:pPr>
        <w:pStyle w:val="Akapitzlist"/>
        <w:numPr>
          <w:ilvl w:val="1"/>
          <w:numId w:val="17"/>
        </w:numPr>
        <w:spacing w:after="0" w:line="360" w:lineRule="auto"/>
        <w:jc w:val="both"/>
        <w:textAlignment w:val="baseline"/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</w:pPr>
      <w:r w:rsidRPr="00D627EC"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  <w:t xml:space="preserve">aktualna lista, o której mowa w art. 2 Ustawy, dostępna także na stronie Ministerstwa: </w:t>
      </w:r>
      <w:hyperlink r:id="rId11" w:history="1">
        <w:r w:rsidRPr="00D627EC">
          <w:rPr>
            <w:rStyle w:val="Hipercze"/>
            <w:rFonts w:ascii="Calibri" w:eastAsia="Times New Roman" w:hAnsi="Calibri" w:cs="Calibri"/>
            <w:sz w:val="22"/>
            <w:szCs w:val="22"/>
            <w:lang w:eastAsia="pl-PL"/>
          </w:rPr>
          <w:t>https://www.gov.pl/web/mswia/lista-osob-i-podmiotow-objetych-sankcjami</w:t>
        </w:r>
      </w:hyperlink>
      <w:r w:rsidRPr="00D627EC"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  <w:t xml:space="preserve">; </w:t>
      </w:r>
    </w:p>
    <w:p w14:paraId="13F33C4C" w14:textId="04B7CFAA" w:rsidR="008A46F0" w:rsidRPr="00D627EC" w:rsidRDefault="008A46F0" w:rsidP="00406CED">
      <w:pPr>
        <w:numPr>
          <w:ilvl w:val="1"/>
          <w:numId w:val="17"/>
        </w:numPr>
        <w:spacing w:after="0" w:line="360" w:lineRule="auto"/>
        <w:jc w:val="both"/>
        <w:textAlignment w:val="baseline"/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</w:pPr>
      <w:r w:rsidRPr="00D627EC"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  <w:t>aktualny wykaz, o którym mowa w art. 2 rozporządzenia Rady (WE) nr 765/2006 z dnia 18 maja 2006 roku dotyczącego środków ograniczających w związku z sytuacją na Białorusi i udziałem Białorusi w agresji Rosji wobec Ukrainy;</w:t>
      </w:r>
    </w:p>
    <w:p w14:paraId="755CEC00" w14:textId="77777777" w:rsidR="008A46F0" w:rsidRPr="00D627EC" w:rsidRDefault="008A46F0" w:rsidP="00406CED">
      <w:pPr>
        <w:numPr>
          <w:ilvl w:val="1"/>
          <w:numId w:val="17"/>
        </w:numPr>
        <w:spacing w:after="0" w:line="360" w:lineRule="auto"/>
        <w:jc w:val="both"/>
        <w:textAlignment w:val="baseline"/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</w:pPr>
      <w:r w:rsidRPr="00D627EC"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  <w:t>aktualny wykaz, o którym mowa w art. 3 rozporządzenia Rady (UE) nr 269/2014 z dnia 17 marca 2014 roku w sprawie środków ograniczających w odniesieniu do działań podważających integralność terytorialną, suwerenność i niezależność Ukrainy lub im zagrażających;</w:t>
      </w:r>
    </w:p>
    <w:p w14:paraId="08D6A547" w14:textId="77777777" w:rsidR="008A46F0" w:rsidRPr="00D627EC" w:rsidRDefault="008A46F0" w:rsidP="00406CED">
      <w:pPr>
        <w:numPr>
          <w:ilvl w:val="1"/>
          <w:numId w:val="17"/>
        </w:numPr>
        <w:spacing w:after="0" w:line="360" w:lineRule="auto"/>
        <w:jc w:val="both"/>
        <w:textAlignment w:val="baseline"/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</w:pPr>
      <w:r w:rsidRPr="00D627EC"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  <w:t>aktualna lista, o której mowa w Rozporządzeniu Rady (UE) nr 833/2014 z dnia 31 lipca 2014 roku, dotyczącego środków ograniczających w związku z działaniami Rosji destabilizującymi sytuację na Ukrainie;</w:t>
      </w:r>
    </w:p>
    <w:p w14:paraId="2D8F5036" w14:textId="77777777" w:rsidR="008A46F0" w:rsidRPr="00D627EC" w:rsidRDefault="008A46F0" w:rsidP="00406CED">
      <w:pPr>
        <w:numPr>
          <w:ilvl w:val="1"/>
          <w:numId w:val="17"/>
        </w:numPr>
        <w:spacing w:after="0" w:line="360" w:lineRule="auto"/>
        <w:jc w:val="both"/>
        <w:textAlignment w:val="baseline"/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</w:pPr>
      <w:r w:rsidRPr="00D627EC"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  <w:t xml:space="preserve">aktualna lista przedmiotowa, wskazana w Rozporządzeniu Rady (UE) 2022/263 z dnia 23 lutego 2022 roku w sprawie środków ograniczających w odpowiedzi na uznanie niekontrolowanych przez rząd obszarów ukraińskich obwodów donieckiego i </w:t>
      </w:r>
      <w:proofErr w:type="spellStart"/>
      <w:r w:rsidRPr="00D627EC"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  <w:t>ługańskiego</w:t>
      </w:r>
      <w:proofErr w:type="spellEnd"/>
      <w:r w:rsidRPr="00D627EC"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  <w:t xml:space="preserve"> oraz nakazanie rozmieszczenia rosyjskich sił zbrojnych na tych obszarach, </w:t>
      </w:r>
    </w:p>
    <w:p w14:paraId="6E050307" w14:textId="77777777" w:rsidR="008A46F0" w:rsidRPr="00D627EC" w:rsidRDefault="008A46F0" w:rsidP="00406CED">
      <w:pPr>
        <w:spacing w:after="0" w:line="360" w:lineRule="auto"/>
        <w:ind w:left="720"/>
        <w:jc w:val="both"/>
        <w:textAlignment w:val="baseline"/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</w:pPr>
      <w:r w:rsidRPr="00D627EC"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  <w:t>oraz gwarantuje, że zapozna się i będzie przestrzegać wszelkich innych regulacji aktualizujących powyższe akty prawne, które wejdą w życie po dacie złożenia niniejszego Oświadczenia, zwane dalej łącznie jako „Listy sankcyjne”.</w:t>
      </w:r>
    </w:p>
    <w:p w14:paraId="51521476" w14:textId="77777777" w:rsidR="008A46F0" w:rsidRPr="00D627EC" w:rsidRDefault="008A46F0" w:rsidP="00406CED">
      <w:pPr>
        <w:numPr>
          <w:ilvl w:val="0"/>
          <w:numId w:val="16"/>
        </w:numPr>
        <w:spacing w:after="0" w:line="360" w:lineRule="auto"/>
        <w:jc w:val="both"/>
        <w:textAlignment w:val="baseline"/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</w:pPr>
      <w:r w:rsidRPr="00D627EC"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  <w:t>Wykonawca oświadcza, że na dzień złożenia Oświadczenia, nie jest podmiotem wpisanym na żadną z List sankcyjnych, a także nie jest kontrolowany, finansowany, zarządzany przez jakikolwiek podmiot, który został wpisany na ww. Listy sankcyjne, a także jego beneficjent rzeczywisty/właściciel/współwłaściciel pośredni lub bezpośredni nie znajduje się na żadnej Liście sankcyjnej.</w:t>
      </w:r>
    </w:p>
    <w:p w14:paraId="5A1E1F03" w14:textId="2ED5A9DA" w:rsidR="008A46F0" w:rsidRPr="00D627EC" w:rsidRDefault="008A46F0" w:rsidP="00406CED">
      <w:pPr>
        <w:numPr>
          <w:ilvl w:val="0"/>
          <w:numId w:val="16"/>
        </w:numPr>
        <w:spacing w:after="0" w:line="360" w:lineRule="auto"/>
        <w:jc w:val="both"/>
        <w:textAlignment w:val="baseline"/>
        <w:rPr>
          <w:rFonts w:ascii="Calibri" w:eastAsia="Times New Roman" w:hAnsi="Calibri" w:cs="Calibri"/>
          <w:sz w:val="22"/>
          <w:szCs w:val="22"/>
          <w:lang w:eastAsia="pl-PL"/>
        </w:rPr>
      </w:pPr>
      <w:r w:rsidRPr="00D627EC"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  <w:t xml:space="preserve">Jednocześnie Wykonawca gwarantuje, iż Oświadczenie o którym mowa w ust. 2 będzie aktualne przez cały okres współpracy z Odbiorcą Oświadczenia, również wtedy kiedy Listy sankcyjne zostaną zaktualizowane. Wykonawca zobowiązuje się poinformować Odbiorcę Oświadczenia, w terminie do 5 dni od momentu zaistnienia przesłanek, skutkujących tym, iż oświadczenie, o </w:t>
      </w:r>
      <w:r w:rsidRPr="00D627EC">
        <w:rPr>
          <w:rStyle w:val="markedcontent"/>
          <w:rFonts w:ascii="Calibri" w:eastAsia="Times New Roman" w:hAnsi="Calibri" w:cs="Calibri"/>
          <w:sz w:val="22"/>
          <w:szCs w:val="22"/>
          <w:lang w:eastAsia="pl-PL"/>
        </w:rPr>
        <w:t>którym mowa w ust. 2 będzie niezgodne z prawdą.</w:t>
      </w:r>
    </w:p>
    <w:p w14:paraId="5992CCC2" w14:textId="77777777" w:rsidR="00406CED" w:rsidRPr="00D627EC" w:rsidRDefault="00406CED" w:rsidP="00406CED">
      <w:pPr>
        <w:pStyle w:val="Textbody"/>
        <w:spacing w:line="360" w:lineRule="auto"/>
        <w:rPr>
          <w:rFonts w:ascii="Calibri" w:hAnsi="Calibri" w:cs="Calibri"/>
          <w:color w:val="000000"/>
          <w:sz w:val="22"/>
          <w:szCs w:val="22"/>
        </w:rPr>
      </w:pPr>
    </w:p>
    <w:p w14:paraId="0B460790" w14:textId="74083355" w:rsidR="008A46F0" w:rsidRPr="00D627EC" w:rsidRDefault="008A46F0" w:rsidP="008A46F0">
      <w:pPr>
        <w:autoSpaceDE w:val="0"/>
        <w:spacing w:after="0" w:line="276" w:lineRule="auto"/>
        <w:rPr>
          <w:rFonts w:ascii="Calibri" w:hAnsi="Calibri" w:cs="Calibri"/>
          <w:sz w:val="22"/>
          <w:szCs w:val="22"/>
        </w:rPr>
      </w:pPr>
      <w:r w:rsidRPr="00D627EC">
        <w:rPr>
          <w:rFonts w:ascii="Calibri" w:hAnsi="Calibri" w:cs="Calibri"/>
          <w:b/>
          <w:color w:val="000000"/>
          <w:sz w:val="22"/>
          <w:szCs w:val="22"/>
        </w:rPr>
        <w:t xml:space="preserve">§ </w:t>
      </w:r>
      <w:r w:rsidR="00720C69">
        <w:rPr>
          <w:rFonts w:ascii="Calibri" w:hAnsi="Calibri" w:cs="Calibri"/>
          <w:b/>
          <w:color w:val="000000"/>
          <w:sz w:val="22"/>
          <w:szCs w:val="22"/>
        </w:rPr>
        <w:t>7</w:t>
      </w:r>
      <w:r w:rsidRPr="00D627EC">
        <w:rPr>
          <w:rFonts w:ascii="Calibri" w:hAnsi="Calibri" w:cs="Calibri"/>
          <w:b/>
          <w:color w:val="000000"/>
          <w:sz w:val="22"/>
          <w:szCs w:val="22"/>
        </w:rPr>
        <w:t>. Osoby do kontaktów</w:t>
      </w:r>
    </w:p>
    <w:p w14:paraId="189CD749" w14:textId="77777777" w:rsidR="008A46F0" w:rsidRPr="00D627EC" w:rsidRDefault="008A46F0" w:rsidP="00406CED">
      <w:pPr>
        <w:numPr>
          <w:ilvl w:val="0"/>
          <w:numId w:val="18"/>
        </w:numPr>
        <w:autoSpaceDE w:val="0"/>
        <w:spacing w:after="0" w:line="360" w:lineRule="auto"/>
        <w:ind w:left="426"/>
        <w:jc w:val="both"/>
        <w:rPr>
          <w:rFonts w:ascii="Calibri" w:hAnsi="Calibri" w:cs="Calibri"/>
          <w:color w:val="000000"/>
          <w:sz w:val="22"/>
          <w:szCs w:val="22"/>
        </w:rPr>
      </w:pPr>
      <w:r w:rsidRPr="00D627EC">
        <w:rPr>
          <w:rFonts w:ascii="Calibri" w:hAnsi="Calibri" w:cs="Calibri"/>
          <w:color w:val="000000"/>
          <w:sz w:val="22"/>
          <w:szCs w:val="22"/>
        </w:rPr>
        <w:t xml:space="preserve">Za realizację Umowy ze strony Zamawiającego odpowiedzialny jest: </w:t>
      </w:r>
    </w:p>
    <w:p w14:paraId="53FBD94B" w14:textId="77777777" w:rsidR="008A46F0" w:rsidRPr="00D627EC" w:rsidRDefault="008A46F0" w:rsidP="00406CED">
      <w:pPr>
        <w:autoSpaceDE w:val="0"/>
        <w:spacing w:after="0" w:line="360" w:lineRule="auto"/>
        <w:ind w:left="426"/>
        <w:jc w:val="both"/>
        <w:rPr>
          <w:rFonts w:ascii="Calibri" w:hAnsi="Calibri" w:cs="Calibri"/>
          <w:color w:val="000000"/>
          <w:sz w:val="22"/>
          <w:szCs w:val="22"/>
        </w:rPr>
      </w:pPr>
      <w:r w:rsidRPr="00D627EC">
        <w:rPr>
          <w:rFonts w:ascii="Calibri" w:hAnsi="Calibri" w:cs="Calibri"/>
          <w:color w:val="000000"/>
          <w:sz w:val="22"/>
          <w:szCs w:val="22"/>
        </w:rPr>
        <w:t>…………………………………………..</w:t>
      </w:r>
    </w:p>
    <w:p w14:paraId="7FCC00E9" w14:textId="77777777" w:rsidR="008A46F0" w:rsidRPr="00D627EC" w:rsidRDefault="008A46F0" w:rsidP="00406CED">
      <w:pPr>
        <w:numPr>
          <w:ilvl w:val="0"/>
          <w:numId w:val="18"/>
        </w:numPr>
        <w:autoSpaceDE w:val="0"/>
        <w:spacing w:after="0" w:line="360" w:lineRule="auto"/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 w:rsidRPr="00D627EC">
        <w:rPr>
          <w:rFonts w:ascii="Calibri" w:hAnsi="Calibri" w:cs="Calibri"/>
          <w:color w:val="000000"/>
          <w:sz w:val="22"/>
          <w:szCs w:val="22"/>
        </w:rPr>
        <w:t xml:space="preserve">Za realizację Umowy ze strony Wykonawcy odpowiedzialni są: </w:t>
      </w:r>
    </w:p>
    <w:p w14:paraId="504BF5B6" w14:textId="77777777" w:rsidR="008A46F0" w:rsidRPr="00D627EC" w:rsidRDefault="008A46F0" w:rsidP="00406CED">
      <w:pPr>
        <w:numPr>
          <w:ilvl w:val="0"/>
          <w:numId w:val="19"/>
        </w:numPr>
        <w:autoSpaceDE w:val="0"/>
        <w:spacing w:after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627EC">
        <w:rPr>
          <w:rFonts w:ascii="Calibri" w:hAnsi="Calibri" w:cs="Calibri"/>
          <w:color w:val="000000"/>
          <w:sz w:val="22"/>
          <w:szCs w:val="22"/>
        </w:rPr>
        <w:t>………………., tel. ………………..…………., e-mail………………..</w:t>
      </w:r>
    </w:p>
    <w:p w14:paraId="0D1E25C1" w14:textId="77777777" w:rsidR="008A46F0" w:rsidRPr="00D627EC" w:rsidRDefault="008A46F0" w:rsidP="00406CED">
      <w:pPr>
        <w:numPr>
          <w:ilvl w:val="0"/>
          <w:numId w:val="19"/>
        </w:numPr>
        <w:autoSpaceDE w:val="0"/>
        <w:spacing w:after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627EC">
        <w:rPr>
          <w:rFonts w:ascii="Calibri" w:hAnsi="Calibri" w:cs="Calibri"/>
          <w:color w:val="000000"/>
          <w:sz w:val="22"/>
          <w:szCs w:val="22"/>
        </w:rPr>
        <w:t>………………., tel. ……………………………, e-mail…………………</w:t>
      </w:r>
    </w:p>
    <w:p w14:paraId="589B2066" w14:textId="77777777" w:rsidR="008A46F0" w:rsidRPr="00D627EC" w:rsidRDefault="008A46F0" w:rsidP="00406CED">
      <w:pPr>
        <w:numPr>
          <w:ilvl w:val="0"/>
          <w:numId w:val="18"/>
        </w:numPr>
        <w:autoSpaceDE w:val="0"/>
        <w:spacing w:after="0" w:line="360" w:lineRule="auto"/>
        <w:ind w:left="426"/>
        <w:jc w:val="both"/>
        <w:rPr>
          <w:rFonts w:ascii="Calibri" w:hAnsi="Calibri" w:cs="Calibri"/>
          <w:color w:val="000000"/>
          <w:sz w:val="22"/>
          <w:szCs w:val="22"/>
        </w:rPr>
      </w:pPr>
      <w:r w:rsidRPr="00D627EC">
        <w:rPr>
          <w:rFonts w:ascii="Calibri" w:hAnsi="Calibri" w:cs="Calibri"/>
          <w:color w:val="000000"/>
          <w:sz w:val="22"/>
          <w:szCs w:val="22"/>
        </w:rPr>
        <w:t>Każda ze Stron ma prawo do zmiany osób upoważnionych do kontaktu oraz zmiany danych teleadresowych i zobowiązuje się o dokonaniu takiej zmiany każdorazowo zawiadomić niezwłocznie i skutecznie drugą Stronę, wskazując równocześnie nowe dane teleadresowe i dane nowego przedstawiciela. Zmiana osób upoważnionych nie stanowi zmiany warunków umowy, w związku z czym nie wymaga sporządzenia pisemnego aneksu do umowy.</w:t>
      </w:r>
    </w:p>
    <w:p w14:paraId="2E62EBBD" w14:textId="77777777" w:rsidR="008A46F0" w:rsidRPr="00D627EC" w:rsidRDefault="008A46F0" w:rsidP="008A46F0">
      <w:p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2E60323A" w14:textId="77782EDD" w:rsidR="00B038F0" w:rsidRPr="00D627EC" w:rsidRDefault="00B038F0" w:rsidP="008A46F0">
      <w:pPr>
        <w:spacing w:after="0" w:line="360" w:lineRule="auto"/>
        <w:jc w:val="both"/>
        <w:outlineLvl w:val="2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§ </w:t>
      </w:r>
      <w:r w:rsidR="00720C69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8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. Gwarancja i wsparcie techniczne</w:t>
      </w:r>
    </w:p>
    <w:p w14:paraId="3B73A819" w14:textId="77777777" w:rsidR="00B038F0" w:rsidRPr="00D627EC" w:rsidRDefault="00B038F0" w:rsidP="008A46F0">
      <w:pPr>
        <w:numPr>
          <w:ilvl w:val="0"/>
          <w:numId w:val="7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Wykonawca udziela 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gwarancji jakości na okres minimum 36 miesięcy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, licząc od daty podpisania protokołu odbioru końcowego.</w:t>
      </w:r>
    </w:p>
    <w:p w14:paraId="5F04966E" w14:textId="77777777" w:rsidR="00B038F0" w:rsidRPr="00D627EC" w:rsidRDefault="00B038F0" w:rsidP="008A46F0">
      <w:pPr>
        <w:numPr>
          <w:ilvl w:val="0"/>
          <w:numId w:val="7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Gwarancja obejmuje naprawy, aktualizacje, poprawki bezpieczeństwa oraz zdalne wsparcie serwisowe.</w:t>
      </w:r>
    </w:p>
    <w:p w14:paraId="33C4E3D3" w14:textId="5D44B5E1" w:rsidR="00B038F0" w:rsidRPr="00D627EC" w:rsidRDefault="00B038F0" w:rsidP="008A46F0">
      <w:pPr>
        <w:numPr>
          <w:ilvl w:val="0"/>
          <w:numId w:val="7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Wykonawca zobowiązuje się do zgłaszania Zamawiającemu wszelkich istotnych aktualizacji bezpieczeństwa i ich niezwłocznego wdrażania.</w:t>
      </w:r>
    </w:p>
    <w:p w14:paraId="72AAB505" w14:textId="77777777" w:rsidR="00FD1F71" w:rsidRPr="00D627EC" w:rsidRDefault="00FD1F71" w:rsidP="00FD1F71">
      <w:pPr>
        <w:numPr>
          <w:ilvl w:val="0"/>
          <w:numId w:val="7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Wykonawca zapewnia dostępność serwisu i części zamiennych przez min. 5 lat.</w:t>
      </w:r>
    </w:p>
    <w:p w14:paraId="19EF72A3" w14:textId="08B281B0" w:rsidR="00FD1F71" w:rsidRPr="00D627EC" w:rsidRDefault="00FD1F71" w:rsidP="00FD1F71">
      <w:pPr>
        <w:numPr>
          <w:ilvl w:val="0"/>
          <w:numId w:val="7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Czas reakcji serwisowej Wykonawcy na zgłoszone niesprawności i awarie nie może być dłuższy niż 24 godzin (w dni robocze) od dnia zgłoszenia przez Zamawiającego – Wykonawcy niesprawności lub awarii przedmiotu umowy. W przypadku awarii dysków twardych dysk pozostaje u Zamawiającego.</w:t>
      </w:r>
    </w:p>
    <w:p w14:paraId="120D8766" w14:textId="62395CE2" w:rsidR="00FD1F71" w:rsidRPr="00D627EC" w:rsidRDefault="00FD1F71" w:rsidP="00FD1F71">
      <w:pPr>
        <w:numPr>
          <w:ilvl w:val="0"/>
          <w:numId w:val="7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Czas trwania naprawy nie może być dłuższy niż 7 dni roboczych licząc od daty zgłoszenia przez Zamawiającego.</w:t>
      </w:r>
    </w:p>
    <w:p w14:paraId="2C0FFFAA" w14:textId="4940A097" w:rsidR="00FD1F71" w:rsidRPr="00D627EC" w:rsidRDefault="00FD1F71" w:rsidP="00FD1F71">
      <w:pPr>
        <w:numPr>
          <w:ilvl w:val="0"/>
          <w:numId w:val="7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Jeżeli okres niesprawności przedmiotu umowy wydłuży się ponad 1 dzień to gwarancję przedłuża się o każdy dzień przestoju.</w:t>
      </w:r>
    </w:p>
    <w:p w14:paraId="7CCFEBA7" w14:textId="59BB6800" w:rsidR="00FD1F71" w:rsidRPr="00D627EC" w:rsidRDefault="00FD1F71" w:rsidP="00FD1F71">
      <w:pPr>
        <w:numPr>
          <w:ilvl w:val="0"/>
          <w:numId w:val="7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W przypadku konieczności sprowadzenia części zamiennych spoza Polski lub w przypadku konieczności sprowadzenia części zamiennych spoza UE Zamawiający dopuszcza czas naprawy, odpowiednio do 10 oraz do 15 dni roboczych. Obowiązek wstawienia sprzętu zastępczego lub podzespołu/części zastępczej umożliwiającą tymczasową pracę komputera/monitora, o nie gorszych parametrach, występuje, odpowiednio od następnego dnia od podjęcia naprawy.</w:t>
      </w:r>
    </w:p>
    <w:p w14:paraId="77C2C1DE" w14:textId="68570ADB" w:rsidR="00406CED" w:rsidRPr="00D627EC" w:rsidRDefault="00FD1F71" w:rsidP="00FD1F71">
      <w:pPr>
        <w:numPr>
          <w:ilvl w:val="0"/>
          <w:numId w:val="7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Odpowiedzialność Wykonawcy z tytułu gwarancji na dostarczone elementy, części lub podzespoły obejmuje tylko wady/awarie powstałe z przyczyn tkwiących w dostarczonym elemencie, części lub podzespole, w szczególności wady konstrukcyjne lub materiałowe.</w:t>
      </w:r>
    </w:p>
    <w:p w14:paraId="26C8AD66" w14:textId="77777777" w:rsidR="00406CED" w:rsidRPr="00D627EC" w:rsidRDefault="00406CED" w:rsidP="00540377">
      <w:pPr>
        <w:spacing w:after="0" w:line="360" w:lineRule="auto"/>
        <w:ind w:left="720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2364DBB6" w14:textId="2B184622" w:rsidR="00B038F0" w:rsidRPr="00D627EC" w:rsidRDefault="00B038F0" w:rsidP="008A46F0">
      <w:pPr>
        <w:spacing w:after="0" w:line="360" w:lineRule="auto"/>
        <w:jc w:val="both"/>
        <w:outlineLvl w:val="2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§ </w:t>
      </w:r>
      <w:r w:rsidR="00720C69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9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. </w:t>
      </w:r>
      <w:proofErr w:type="spellStart"/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Cyberbezpieczeństwo</w:t>
      </w:r>
      <w:proofErr w:type="spellEnd"/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 i ochrona danych</w:t>
      </w:r>
    </w:p>
    <w:p w14:paraId="6C43248C" w14:textId="2CBFDA9A" w:rsidR="00C32580" w:rsidRPr="00D627EC" w:rsidRDefault="00C32580" w:rsidP="00C32580">
      <w:pPr>
        <w:numPr>
          <w:ilvl w:val="0"/>
          <w:numId w:val="8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W związku z realizacją niniejszej Umowy będący stroną zawartej Umowy zobowiązany jest do zapewnienia bezpieczeństwa informacji przetwarzanych w związku jej realizacją, ochrony pozostałych udostępnionych mu aktywów Zamawiającego, wspierających przetwarzanie tych informacji, w szczególności do zapewnienia ich poufności, integralności oraz dostępności oraz do zapewnienia ciągłości realizacji usług świadczonych na rzecz </w:t>
      </w:r>
      <w:r w:rsidR="20519E5A" w:rsidRPr="147CEE03">
        <w:rPr>
          <w:rFonts w:ascii="Calibri" w:eastAsia="Times New Roman" w:hAnsi="Calibri" w:cs="Calibri"/>
          <w:sz w:val="22"/>
          <w:szCs w:val="22"/>
          <w:lang w:eastAsia="pl-PL"/>
        </w:rPr>
        <w:t xml:space="preserve">Zamawiającego </w:t>
      </w:r>
      <w:r w:rsidRPr="147CEE03">
        <w:rPr>
          <w:rFonts w:ascii="Calibri" w:eastAsia="Times New Roman" w:hAnsi="Calibri" w:cs="Calibri"/>
          <w:sz w:val="22"/>
          <w:szCs w:val="22"/>
          <w:lang w:eastAsia="pl-PL"/>
        </w:rPr>
        <w:t>.</w:t>
      </w:r>
    </w:p>
    <w:p w14:paraId="6F4DA896" w14:textId="6B1A5531" w:rsidR="00B038F0" w:rsidRPr="00D627EC" w:rsidRDefault="00B038F0" w:rsidP="008A46F0">
      <w:pPr>
        <w:numPr>
          <w:ilvl w:val="0"/>
          <w:numId w:val="8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Wykonawca zapewni, że dostarczone rozwiązania spełniają wymagania w zakresie 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bezpieczeństwa informacji, ochrony danych osobowych i odporności systemów IT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.</w:t>
      </w:r>
    </w:p>
    <w:p w14:paraId="114969AC" w14:textId="77777777" w:rsidR="00B038F0" w:rsidRPr="00D627EC" w:rsidRDefault="00B038F0" w:rsidP="008A46F0">
      <w:pPr>
        <w:numPr>
          <w:ilvl w:val="0"/>
          <w:numId w:val="8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W szczególności Wykonawca zobowiązuje się do:</w:t>
      </w:r>
    </w:p>
    <w:p w14:paraId="4867A39B" w14:textId="77777777" w:rsidR="00B038F0" w:rsidRPr="00D627EC" w:rsidRDefault="00B038F0" w:rsidP="008A46F0">
      <w:pPr>
        <w:numPr>
          <w:ilvl w:val="1"/>
          <w:numId w:val="8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stosowania aktualnych mechanizmów ochrony przed złośliwym oprogramowaniem,</w:t>
      </w:r>
    </w:p>
    <w:p w14:paraId="4AFC4D05" w14:textId="77777777" w:rsidR="00B038F0" w:rsidRPr="00D627EC" w:rsidRDefault="00B038F0" w:rsidP="008A46F0">
      <w:pPr>
        <w:numPr>
          <w:ilvl w:val="1"/>
          <w:numId w:val="8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wdrożenia zasad zarządzania tożsamością i dostępem (m.in. MFA, RBAC),</w:t>
      </w:r>
    </w:p>
    <w:p w14:paraId="4C239F3E" w14:textId="77777777" w:rsidR="00B038F0" w:rsidRPr="00D627EC" w:rsidRDefault="00B038F0" w:rsidP="008A46F0">
      <w:pPr>
        <w:numPr>
          <w:ilvl w:val="1"/>
          <w:numId w:val="8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prowadzenia rejestru zdarzeń bezpieczeństwa,</w:t>
      </w:r>
    </w:p>
    <w:p w14:paraId="0DA0F2FB" w14:textId="77777777" w:rsidR="00B038F0" w:rsidRPr="00D627EC" w:rsidRDefault="00B038F0" w:rsidP="008A46F0">
      <w:pPr>
        <w:numPr>
          <w:ilvl w:val="1"/>
          <w:numId w:val="8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zapewnienia szyfrowania danych w spoczynku i w transmisji,</w:t>
      </w:r>
    </w:p>
    <w:p w14:paraId="72963869" w14:textId="77777777" w:rsidR="00B038F0" w:rsidRPr="00D627EC" w:rsidRDefault="00B038F0" w:rsidP="008A46F0">
      <w:pPr>
        <w:numPr>
          <w:ilvl w:val="1"/>
          <w:numId w:val="8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zgłaszania wszelkich incydentów </w:t>
      </w:r>
      <w:proofErr w:type="spellStart"/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cyberbezpieczeństwa</w:t>
      </w:r>
      <w:proofErr w:type="spellEnd"/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Zamawiającemu w ciągu 24 godzin od ich wykrycia.</w:t>
      </w:r>
    </w:p>
    <w:p w14:paraId="5BEDF7D8" w14:textId="5C5B0D58" w:rsidR="00B038F0" w:rsidRPr="00D627EC" w:rsidRDefault="00B038F0" w:rsidP="008A46F0">
      <w:pPr>
        <w:numPr>
          <w:ilvl w:val="0"/>
          <w:numId w:val="8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Wykonawca gwarantuje, że żaden komponent sprzętowy lub programowy nie pochodzi od producentów objętych ograniczeniami UE lub sankcjami wynikającymi z rozporządzenia 833/2014 i ustawy z dnia 13 kwietnia 2022 r.</w:t>
      </w:r>
    </w:p>
    <w:p w14:paraId="7C27BD9E" w14:textId="77777777" w:rsidR="00540377" w:rsidRPr="00D627EC" w:rsidRDefault="00540377" w:rsidP="00540377">
      <w:pPr>
        <w:spacing w:after="0" w:line="360" w:lineRule="auto"/>
        <w:ind w:left="720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534A02D1" w14:textId="11EC7B65" w:rsidR="00B038F0" w:rsidRPr="00D627EC" w:rsidRDefault="00B038F0" w:rsidP="008A46F0">
      <w:pPr>
        <w:spacing w:after="0" w:line="360" w:lineRule="auto"/>
        <w:jc w:val="both"/>
        <w:outlineLvl w:val="2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§ </w:t>
      </w:r>
      <w:r w:rsidR="008A46F0"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1</w:t>
      </w:r>
      <w:r w:rsidR="00720C69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0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. Kary umowne</w:t>
      </w:r>
    </w:p>
    <w:p w14:paraId="595AF499" w14:textId="77777777" w:rsidR="00B038F0" w:rsidRPr="00D627EC" w:rsidRDefault="00B038F0" w:rsidP="008A46F0">
      <w:pPr>
        <w:numPr>
          <w:ilvl w:val="0"/>
          <w:numId w:val="9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Za każdy dzień opóźnienia w dostawie lub wdrożeniu – kara w wysokości 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0,2% wartości umowy brutto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.</w:t>
      </w:r>
    </w:p>
    <w:p w14:paraId="11668846" w14:textId="77777777" w:rsidR="00B038F0" w:rsidRPr="00D627EC" w:rsidRDefault="00B038F0" w:rsidP="008A46F0">
      <w:pPr>
        <w:numPr>
          <w:ilvl w:val="0"/>
          <w:numId w:val="9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Za odstąpienie od umowy z winy Wykonawcy – 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10% wartości umowy brutto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.</w:t>
      </w:r>
    </w:p>
    <w:p w14:paraId="019DB27A" w14:textId="57320E2D" w:rsidR="008A46F0" w:rsidRPr="00D627EC" w:rsidRDefault="008A46F0" w:rsidP="008A46F0">
      <w:pPr>
        <w:numPr>
          <w:ilvl w:val="0"/>
          <w:numId w:val="9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Maksymalna wysokość kar umownych </w:t>
      </w:r>
      <w:r w:rsidRPr="147CEE03">
        <w:rPr>
          <w:rFonts w:ascii="Calibri" w:eastAsia="Times New Roman" w:hAnsi="Calibri" w:cs="Calibri"/>
          <w:sz w:val="22"/>
          <w:szCs w:val="22"/>
          <w:lang w:eastAsia="pl-PL"/>
        </w:rPr>
        <w:t xml:space="preserve">nie może przekroczyć </w:t>
      </w:r>
      <w:r w:rsidR="00BC2488">
        <w:rPr>
          <w:rFonts w:ascii="Calibri" w:eastAsia="Times New Roman" w:hAnsi="Calibri" w:cs="Calibri"/>
          <w:sz w:val="22"/>
          <w:szCs w:val="22"/>
          <w:lang w:eastAsia="pl-PL"/>
        </w:rPr>
        <w:t>20</w:t>
      </w:r>
      <w:r w:rsidRPr="147CEE03">
        <w:rPr>
          <w:rFonts w:ascii="Calibri" w:eastAsia="Times New Roman" w:hAnsi="Calibri" w:cs="Calibri"/>
          <w:sz w:val="22"/>
          <w:szCs w:val="22"/>
          <w:lang w:eastAsia="pl-PL"/>
        </w:rPr>
        <w:t xml:space="preserve"> % wartości umowy brutto.</w:t>
      </w:r>
    </w:p>
    <w:p w14:paraId="25868E1E" w14:textId="7295D96A" w:rsidR="00B038F0" w:rsidRPr="00D627EC" w:rsidRDefault="00B038F0" w:rsidP="008A46F0">
      <w:pPr>
        <w:numPr>
          <w:ilvl w:val="0"/>
          <w:numId w:val="9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Zamawiający może potrącić kary z należnego</w:t>
      </w:r>
      <w:r w:rsidR="008A46F0"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Wykonawcy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wynagrodzenia.</w:t>
      </w:r>
    </w:p>
    <w:p w14:paraId="40E252C6" w14:textId="61F03C1C" w:rsidR="00B038F0" w:rsidRPr="00D627EC" w:rsidRDefault="00B038F0" w:rsidP="008A46F0">
      <w:pPr>
        <w:numPr>
          <w:ilvl w:val="0"/>
          <w:numId w:val="9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Niezależnie od kar, Zamawiający może dochodzić odszkodowania przewyższającego ich wartoś</w:t>
      </w:r>
      <w:r w:rsidR="008A46F0"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ci.</w:t>
      </w:r>
    </w:p>
    <w:p w14:paraId="3D994700" w14:textId="77777777" w:rsidR="00540377" w:rsidRPr="00D627EC" w:rsidRDefault="00540377" w:rsidP="00540377">
      <w:pPr>
        <w:spacing w:after="0" w:line="360" w:lineRule="auto"/>
        <w:ind w:left="720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57083B52" w14:textId="77777777" w:rsidR="00540377" w:rsidRPr="00D627EC" w:rsidRDefault="00540377" w:rsidP="00540377">
      <w:pPr>
        <w:spacing w:after="0" w:line="360" w:lineRule="auto"/>
        <w:ind w:left="720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5A591703" w14:textId="070A764B" w:rsidR="00B038F0" w:rsidRPr="00D627EC" w:rsidRDefault="00B038F0" w:rsidP="008A46F0">
      <w:pPr>
        <w:spacing w:after="0" w:line="360" w:lineRule="auto"/>
        <w:jc w:val="both"/>
        <w:outlineLvl w:val="2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§ 1</w:t>
      </w:r>
      <w:r w:rsidR="00720C69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1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. Finansowanie i oznaczenia projektu</w:t>
      </w:r>
    </w:p>
    <w:p w14:paraId="26D4A78E" w14:textId="77777777" w:rsidR="00B038F0" w:rsidRPr="00D627EC" w:rsidRDefault="00B038F0" w:rsidP="008A46F0">
      <w:pPr>
        <w:numPr>
          <w:ilvl w:val="0"/>
          <w:numId w:val="11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Umowa jest współfinansowana ze środków 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Unii Europejskiej w ramach KPO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.</w:t>
      </w:r>
    </w:p>
    <w:p w14:paraId="1BF90B4A" w14:textId="083EC041" w:rsidR="00B038F0" w:rsidRPr="00D627EC" w:rsidRDefault="00B038F0" w:rsidP="008A46F0">
      <w:pPr>
        <w:numPr>
          <w:ilvl w:val="0"/>
          <w:numId w:val="11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Wykonawca zobowiązuje się do oznakowania sprzętu, materiałów i dokumentacji zgodnie z wytycznymi dotyczącymi informacji i promocji KPO.</w:t>
      </w:r>
    </w:p>
    <w:p w14:paraId="1C305FA8" w14:textId="77777777" w:rsidR="00540377" w:rsidRPr="00D627EC" w:rsidRDefault="00540377" w:rsidP="00540377">
      <w:pPr>
        <w:spacing w:after="0" w:line="360" w:lineRule="auto"/>
        <w:ind w:left="720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3C32E23C" w14:textId="4B311C7B" w:rsidR="00B038F0" w:rsidRPr="00D627EC" w:rsidRDefault="00B038F0" w:rsidP="008A46F0">
      <w:pPr>
        <w:spacing w:after="0" w:line="360" w:lineRule="auto"/>
        <w:jc w:val="both"/>
        <w:outlineLvl w:val="2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§ 1</w:t>
      </w:r>
      <w:r w:rsidR="00720C69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2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. Zmiany umowy</w:t>
      </w:r>
    </w:p>
    <w:p w14:paraId="071DF529" w14:textId="77777777" w:rsidR="00B038F0" w:rsidRPr="00D627EC" w:rsidRDefault="00B038F0" w:rsidP="008A46F0">
      <w:pPr>
        <w:numPr>
          <w:ilvl w:val="0"/>
          <w:numId w:val="12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Zmiany umowy wymagają formy pisemnej pod rygorem nieważności.</w:t>
      </w:r>
    </w:p>
    <w:p w14:paraId="4F9F4B24" w14:textId="77777777" w:rsidR="00540377" w:rsidRPr="00D627EC" w:rsidRDefault="00540377" w:rsidP="00540377">
      <w:pPr>
        <w:spacing w:after="0" w:line="360" w:lineRule="auto"/>
        <w:ind w:left="1440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3892586D" w14:textId="4B57741B" w:rsidR="00B038F0" w:rsidRPr="00D627EC" w:rsidRDefault="00B038F0" w:rsidP="008A46F0">
      <w:pPr>
        <w:spacing w:after="0" w:line="360" w:lineRule="auto"/>
        <w:jc w:val="both"/>
        <w:outlineLvl w:val="2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§ 1</w:t>
      </w:r>
      <w:r w:rsidR="00720C69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3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. Odstąpienie i rozwiązanie umowy</w:t>
      </w:r>
    </w:p>
    <w:p w14:paraId="615717A0" w14:textId="77777777" w:rsidR="00B038F0" w:rsidRPr="00D627EC" w:rsidRDefault="00B038F0" w:rsidP="008A46F0">
      <w:pPr>
        <w:numPr>
          <w:ilvl w:val="0"/>
          <w:numId w:val="13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Zamawiający może odstąpić od umowy w przypadku:</w:t>
      </w:r>
    </w:p>
    <w:p w14:paraId="653240A5" w14:textId="77777777" w:rsidR="00B038F0" w:rsidRPr="00D627EC" w:rsidRDefault="00B038F0" w:rsidP="008A46F0">
      <w:pPr>
        <w:numPr>
          <w:ilvl w:val="1"/>
          <w:numId w:val="13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opóźnienia realizacji przekraczającego 30 dni,</w:t>
      </w:r>
    </w:p>
    <w:p w14:paraId="53E6ECE1" w14:textId="77777777" w:rsidR="00B038F0" w:rsidRPr="00D627EC" w:rsidRDefault="00B038F0" w:rsidP="008A46F0">
      <w:pPr>
        <w:numPr>
          <w:ilvl w:val="1"/>
          <w:numId w:val="13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nieusunięcia wad lub zagrożeń bezpieczeństwa w wyznaczonym terminie.</w:t>
      </w:r>
    </w:p>
    <w:p w14:paraId="6C30E760" w14:textId="1028F12C" w:rsidR="00FD1F71" w:rsidRPr="00D627EC" w:rsidRDefault="00B038F0" w:rsidP="00FD1F71">
      <w:pPr>
        <w:numPr>
          <w:ilvl w:val="0"/>
          <w:numId w:val="13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Odstąpienie wymaga formy pisemnej</w:t>
      </w:r>
      <w:r w:rsidR="008A46F0"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.</w:t>
      </w:r>
    </w:p>
    <w:p w14:paraId="0AC490F8" w14:textId="77777777" w:rsidR="00B70B6A" w:rsidRPr="00D627EC" w:rsidRDefault="00B70B6A" w:rsidP="00B70B6A">
      <w:pPr>
        <w:spacing w:after="0" w:line="360" w:lineRule="auto"/>
        <w:ind w:left="720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30615384" w14:textId="67E40D90" w:rsidR="00FD1F71" w:rsidRPr="00D627EC" w:rsidRDefault="00FD1F71" w:rsidP="00FD1F71">
      <w:pPr>
        <w:spacing w:after="0" w:line="360" w:lineRule="auto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§ 1</w:t>
      </w:r>
      <w:r w:rsidR="00720C69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4.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 Informacje poufne</w:t>
      </w:r>
    </w:p>
    <w:p w14:paraId="0DE85019" w14:textId="737145F4" w:rsidR="00FD1F71" w:rsidRPr="00D627EC" w:rsidRDefault="00FD1F71" w:rsidP="00FD1F71">
      <w:p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1. Strony zobowiązują się do zachowania w tajemnicy wszelkich informacji uzyskanych w </w:t>
      </w:r>
      <w:r w:rsidR="2DEFE527" w:rsidRPr="147CEE03">
        <w:rPr>
          <w:rFonts w:ascii="Calibri" w:eastAsia="Times New Roman" w:hAnsi="Calibri" w:cs="Calibri"/>
          <w:sz w:val="22"/>
          <w:szCs w:val="22"/>
          <w:lang w:eastAsia="pl-PL"/>
        </w:rPr>
        <w:t xml:space="preserve">trakcie </w:t>
      </w:r>
      <w:r w:rsidRPr="147CEE03">
        <w:rPr>
          <w:rFonts w:ascii="Calibri" w:eastAsia="Times New Roman" w:hAnsi="Calibri" w:cs="Calibri"/>
          <w:sz w:val="22"/>
          <w:szCs w:val="22"/>
          <w:lang w:eastAsia="pl-PL"/>
        </w:rPr>
        <w:t xml:space="preserve"> wykonywania umowy, w tym danych osobowych oraz sposobów ich zabezpieczenia.</w:t>
      </w:r>
    </w:p>
    <w:p w14:paraId="02025CA8" w14:textId="05C75A4A" w:rsidR="00FD1F71" w:rsidRPr="00D627EC" w:rsidRDefault="00FD1F71" w:rsidP="00FD1F71">
      <w:p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2. Strony odpowiadają za zachowanie tajemnicy, o której mowa w ust. 1, przez wszystkie osoby zaangażowane przy wykonywaniu umowy.</w:t>
      </w:r>
    </w:p>
    <w:p w14:paraId="0C7BADD2" w14:textId="56F7CF80" w:rsidR="00FD1F71" w:rsidRPr="00D627EC" w:rsidRDefault="00FD1F71" w:rsidP="00FD1F71">
      <w:p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3. Wykonawca może przetwarzać dane osobowe wyłącznie w zakresie i celu przewidzianym w umowie.</w:t>
      </w:r>
    </w:p>
    <w:p w14:paraId="6B251751" w14:textId="3B298921" w:rsidR="00FD1F71" w:rsidRDefault="00FD1F71" w:rsidP="00FD1F71">
      <w:p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4. Wykonawca zobowiązany jest stosować środki techniczne i organizacyjne zapewniające ochronę przetwarzanych danych, a w szczególności powinien zabezpieczyć dane przed ich udostępnieniem osobom nieupoważnionym, utratą, uszkodzeniem lub zniszczeniem.</w:t>
      </w:r>
    </w:p>
    <w:p w14:paraId="67EADC06" w14:textId="77777777" w:rsidR="00832B38" w:rsidRPr="00D627EC" w:rsidRDefault="00832B38" w:rsidP="00FD1F71">
      <w:p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0458B9AF" w14:textId="798CA4FA" w:rsidR="00B70B6A" w:rsidRPr="00D627EC" w:rsidRDefault="00B70B6A" w:rsidP="001C0D2D">
      <w:pPr>
        <w:spacing w:after="0" w:line="360" w:lineRule="auto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§ 1</w:t>
      </w:r>
      <w:r w:rsidR="001C0D2D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5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. Siła wyższa</w:t>
      </w:r>
    </w:p>
    <w:p w14:paraId="1A28AC4E" w14:textId="28ABE633" w:rsidR="00B70B6A" w:rsidRPr="00D627EC" w:rsidRDefault="00B70B6A" w:rsidP="00B70B6A">
      <w:pPr>
        <w:spacing w:after="0" w:line="360" w:lineRule="auto"/>
        <w:ind w:left="142" w:hanging="142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1. W przypadku gdy okoliczności „siły wyższej” uniemożliwiają chwilowe wykonanie jakichkolwiek zobowiązań umownych którejkolwiek ze Stron umowy, określony termin wykonania zobowiązań umownych będzie przedłużony o czas trwania okoliczności „siły wyższej” oraz jej skutków, z uwzględnieniem postanowień ust. 3. Siła wyższa rozumiana jest jako niezależne od Stron zdarzenie nagłe, nieprzewidywalne i niemożliwe do zapobieżenia.</w:t>
      </w:r>
    </w:p>
    <w:p w14:paraId="532EF4A2" w14:textId="1E7AF2A6" w:rsidR="00B70B6A" w:rsidRPr="00D627EC" w:rsidRDefault="00B70B6A" w:rsidP="00B70B6A">
      <w:pPr>
        <w:spacing w:after="0" w:line="360" w:lineRule="auto"/>
        <w:ind w:left="142" w:hanging="142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2. W przypadku gdy którakolwiek ze Stron nie jest w stanie wywiązać się ze swych zobowiązań umownych w związku z okolicznościami „siły wyższej” druga Strona musi być poinformowana w formie pisemnej w terminie do 14 dni od momentu ustania w/w okoliczności pod rygorem</w:t>
      </w:r>
      <w:r w:rsidR="00832B38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rozwiązania umowy w trybie natychmiastowym.</w:t>
      </w:r>
    </w:p>
    <w:p w14:paraId="70E2FB9D" w14:textId="6A3EE04B" w:rsidR="00B70B6A" w:rsidRPr="00D627EC" w:rsidRDefault="00B70B6A" w:rsidP="00B70B6A">
      <w:pPr>
        <w:spacing w:after="0" w:line="360" w:lineRule="auto"/>
        <w:ind w:left="142" w:hanging="142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3.Gdy okoliczności „siły wyższej” uniemożliwiają jednej ze Stron umowy wywiązanie się ze swych zobowiązań umownych przez okres dłuższy niż 2 miesiące, Strony umowy mogą rozwiązać umowę w całości lub w części bez odszkodowania. W przypadku rozwiązania umowy w taki sposób, jej końcowe rozlicznie musi być uzgodnione przez obie Strony umowy</w:t>
      </w:r>
    </w:p>
    <w:p w14:paraId="5EA30BA1" w14:textId="77777777" w:rsidR="00B70B6A" w:rsidRPr="00D627EC" w:rsidRDefault="00B70B6A" w:rsidP="00F2509B">
      <w:pPr>
        <w:spacing w:after="0" w:line="360" w:lineRule="auto"/>
        <w:ind w:left="142" w:hanging="142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0DD89270" w14:textId="19F55DDC" w:rsidR="00B038F0" w:rsidRPr="00D627EC" w:rsidRDefault="00B038F0" w:rsidP="008A46F0">
      <w:pPr>
        <w:spacing w:after="0" w:line="360" w:lineRule="auto"/>
        <w:jc w:val="both"/>
        <w:outlineLvl w:val="2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§ 1</w:t>
      </w:r>
      <w:r w:rsidR="001C0D2D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6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. Postanowienia końcowe</w:t>
      </w:r>
    </w:p>
    <w:p w14:paraId="055672D3" w14:textId="77777777" w:rsidR="00B038F0" w:rsidRPr="00D627EC" w:rsidRDefault="00B038F0" w:rsidP="008A46F0">
      <w:pPr>
        <w:numPr>
          <w:ilvl w:val="0"/>
          <w:numId w:val="14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Spory będą rozstrzygane przez sąd właściwy dla siedziby Zamawiającego.</w:t>
      </w:r>
    </w:p>
    <w:p w14:paraId="607FAA85" w14:textId="77777777" w:rsidR="00B038F0" w:rsidRPr="00D627EC" w:rsidRDefault="00B038F0" w:rsidP="008A46F0">
      <w:pPr>
        <w:numPr>
          <w:ilvl w:val="0"/>
          <w:numId w:val="14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Umowę sporządzono w dwóch jednobrzmiących egzemplarzach, po jednym dla każdej ze Stron.</w:t>
      </w:r>
    </w:p>
    <w:p w14:paraId="1CBD8E0E" w14:textId="571C7A67" w:rsidR="00B038F0" w:rsidRPr="00D627EC" w:rsidRDefault="00B038F0" w:rsidP="008A46F0">
      <w:p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37C102E5" w14:textId="77777777" w:rsidR="008A46F0" w:rsidRPr="00D627EC" w:rsidRDefault="00B038F0" w:rsidP="00540377">
      <w:pPr>
        <w:spacing w:before="100" w:beforeAutospacing="1" w:after="100" w:afterAutospacing="1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ZAMAWIAJĄCY: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_______________________</w:t>
      </w:r>
    </w:p>
    <w:p w14:paraId="2EFF6B7B" w14:textId="0298DEE4" w:rsidR="00B038F0" w:rsidRPr="00D627EC" w:rsidRDefault="00B038F0" w:rsidP="008A46F0">
      <w:pPr>
        <w:spacing w:before="100" w:beforeAutospacing="1" w:after="100" w:afterAutospacing="1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WYKONAWCA: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_______________________</w:t>
      </w:r>
    </w:p>
    <w:p w14:paraId="17CB1099" w14:textId="1975BB15" w:rsidR="00B038F0" w:rsidRPr="00D627EC" w:rsidRDefault="00B038F0" w:rsidP="008A46F0">
      <w:p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644878EC" w14:textId="7A90A0CC" w:rsidR="00B038F0" w:rsidRPr="00D627EC" w:rsidRDefault="00B038F0" w:rsidP="00540377">
      <w:pPr>
        <w:spacing w:before="100" w:beforeAutospacing="1" w:after="100" w:afterAutospacing="1" w:line="240" w:lineRule="auto"/>
        <w:outlineLvl w:val="2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Załączniki</w:t>
      </w:r>
    </w:p>
    <w:p w14:paraId="4B53F08B" w14:textId="77777777" w:rsidR="00B038F0" w:rsidRPr="00D627EC" w:rsidRDefault="00B038F0" w:rsidP="00B038F0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Załącznik nr 1 – Opis Przedmiotu Zamówienia (OPZ)</w:t>
      </w:r>
    </w:p>
    <w:p w14:paraId="6E4DFAC3" w14:textId="111BE255" w:rsidR="00B038F0" w:rsidRDefault="00B038F0" w:rsidP="00B038F0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Załącznik nr </w:t>
      </w:r>
      <w:r w:rsid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2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– Wzór protokołu odbioru końcowego</w:t>
      </w:r>
    </w:p>
    <w:p w14:paraId="4D790BF5" w14:textId="3946042E" w:rsidR="00832B38" w:rsidRPr="00D627EC" w:rsidRDefault="00832B38" w:rsidP="00B038F0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832B38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Załącznik nr 3 do umowy - </w:t>
      </w:r>
      <w:r w:rsidRPr="00832B38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Wzór</w:t>
      </w:r>
      <w:r w:rsidRPr="00832B38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Umowy Powierzenia</w:t>
      </w:r>
    </w:p>
    <w:p w14:paraId="2DCD2C6E" w14:textId="77777777" w:rsidR="004D2DB6" w:rsidRPr="00D627EC" w:rsidRDefault="004D2DB6">
      <w:pPr>
        <w:rPr>
          <w:rFonts w:ascii="Calibri" w:hAnsi="Calibri" w:cs="Calibri"/>
          <w:sz w:val="22"/>
          <w:szCs w:val="22"/>
        </w:rPr>
      </w:pPr>
    </w:p>
    <w:sectPr w:rsidR="004D2DB6" w:rsidRPr="00D627E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C6541E" w14:textId="77777777" w:rsidR="00ED7116" w:rsidRDefault="00ED7116" w:rsidP="00B038F0">
      <w:pPr>
        <w:spacing w:after="0" w:line="240" w:lineRule="auto"/>
      </w:pPr>
      <w:r>
        <w:separator/>
      </w:r>
    </w:p>
  </w:endnote>
  <w:endnote w:type="continuationSeparator" w:id="0">
    <w:p w14:paraId="4E0892EB" w14:textId="77777777" w:rsidR="00ED7116" w:rsidRDefault="00ED7116" w:rsidP="00B03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8A3EFE" w14:textId="77777777" w:rsidR="00B06A73" w:rsidRDefault="00B06A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C6228" w14:textId="77777777" w:rsidR="00B06A73" w:rsidRDefault="00B06A7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00509F" w14:textId="77777777" w:rsidR="00B06A73" w:rsidRDefault="00B06A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9E7626" w14:textId="77777777" w:rsidR="00ED7116" w:rsidRDefault="00ED7116" w:rsidP="00B038F0">
      <w:pPr>
        <w:spacing w:after="0" w:line="240" w:lineRule="auto"/>
      </w:pPr>
      <w:r>
        <w:separator/>
      </w:r>
    </w:p>
  </w:footnote>
  <w:footnote w:type="continuationSeparator" w:id="0">
    <w:p w14:paraId="61BFEDA7" w14:textId="77777777" w:rsidR="00ED7116" w:rsidRDefault="00ED7116" w:rsidP="00B038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D5137" w14:textId="77777777" w:rsidR="00B06A73" w:rsidRDefault="00B06A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326A1" w14:textId="5F9C17E5" w:rsidR="00B038F0" w:rsidRDefault="00B038F0">
    <w:pPr>
      <w:pStyle w:val="Nagwek"/>
    </w:pPr>
    <w:r>
      <w:rPr>
        <w:noProof/>
      </w:rPr>
      <w:drawing>
        <wp:inline distT="0" distB="0" distL="0" distR="0" wp14:anchorId="024D9073" wp14:editId="5750CC27">
          <wp:extent cx="5760720" cy="572135"/>
          <wp:effectExtent l="0" t="0" r="0" b="0"/>
          <wp:docPr id="7373837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076CD05" w14:textId="77777777" w:rsidR="00B06A73" w:rsidRDefault="00B06A7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E760F" w14:textId="77777777" w:rsidR="00B06A73" w:rsidRDefault="00B06A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B76A4"/>
    <w:multiLevelType w:val="multilevel"/>
    <w:tmpl w:val="663A31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183536"/>
    <w:multiLevelType w:val="multilevel"/>
    <w:tmpl w:val="3A846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6B2987"/>
    <w:multiLevelType w:val="multilevel"/>
    <w:tmpl w:val="A552D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0E7FF9"/>
    <w:multiLevelType w:val="multilevel"/>
    <w:tmpl w:val="8E283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DD49C3"/>
    <w:multiLevelType w:val="hybridMultilevel"/>
    <w:tmpl w:val="8CD2D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B9239A"/>
    <w:multiLevelType w:val="multilevel"/>
    <w:tmpl w:val="15049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576DBD"/>
    <w:multiLevelType w:val="multilevel"/>
    <w:tmpl w:val="7068D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AE1506"/>
    <w:multiLevelType w:val="hybridMultilevel"/>
    <w:tmpl w:val="617EA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C35722"/>
    <w:multiLevelType w:val="hybridMultilevel"/>
    <w:tmpl w:val="173A848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67003B5"/>
    <w:multiLevelType w:val="multilevel"/>
    <w:tmpl w:val="A90E2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F360414"/>
    <w:multiLevelType w:val="multilevel"/>
    <w:tmpl w:val="2DD48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9560454"/>
    <w:multiLevelType w:val="hybridMultilevel"/>
    <w:tmpl w:val="49A011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AC2CB5"/>
    <w:multiLevelType w:val="multilevel"/>
    <w:tmpl w:val="A4EEE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346385E"/>
    <w:multiLevelType w:val="multilevel"/>
    <w:tmpl w:val="4B06A5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3A63040"/>
    <w:multiLevelType w:val="multilevel"/>
    <w:tmpl w:val="87D0A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425F2F"/>
    <w:multiLevelType w:val="multilevel"/>
    <w:tmpl w:val="B9F2F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DCF7380"/>
    <w:multiLevelType w:val="multilevel"/>
    <w:tmpl w:val="6F34B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41E619C"/>
    <w:multiLevelType w:val="multilevel"/>
    <w:tmpl w:val="F70E7C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93D6FC7"/>
    <w:multiLevelType w:val="multilevel"/>
    <w:tmpl w:val="F4146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04968813">
    <w:abstractNumId w:val="2"/>
  </w:num>
  <w:num w:numId="2" w16cid:durableId="1058437657">
    <w:abstractNumId w:val="12"/>
  </w:num>
  <w:num w:numId="3" w16cid:durableId="1588998374">
    <w:abstractNumId w:val="17"/>
  </w:num>
  <w:num w:numId="4" w16cid:durableId="482624589">
    <w:abstractNumId w:val="6"/>
  </w:num>
  <w:num w:numId="5" w16cid:durableId="954171269">
    <w:abstractNumId w:val="0"/>
  </w:num>
  <w:num w:numId="6" w16cid:durableId="1710882989">
    <w:abstractNumId w:val="16"/>
  </w:num>
  <w:num w:numId="7" w16cid:durableId="1815485008">
    <w:abstractNumId w:val="1"/>
  </w:num>
  <w:num w:numId="8" w16cid:durableId="715086491">
    <w:abstractNumId w:val="3"/>
  </w:num>
  <w:num w:numId="9" w16cid:durableId="2079672417">
    <w:abstractNumId w:val="5"/>
  </w:num>
  <w:num w:numId="10" w16cid:durableId="194660615">
    <w:abstractNumId w:val="14"/>
  </w:num>
  <w:num w:numId="11" w16cid:durableId="764040480">
    <w:abstractNumId w:val="10"/>
  </w:num>
  <w:num w:numId="12" w16cid:durableId="1952349041">
    <w:abstractNumId w:val="18"/>
  </w:num>
  <w:num w:numId="13" w16cid:durableId="1719435204">
    <w:abstractNumId w:val="15"/>
  </w:num>
  <w:num w:numId="14" w16cid:durableId="1856647406">
    <w:abstractNumId w:val="9"/>
  </w:num>
  <w:num w:numId="15" w16cid:durableId="55902365">
    <w:abstractNumId w:val="13"/>
  </w:num>
  <w:num w:numId="16" w16cid:durableId="1247033464">
    <w:abstractNumId w:val="4"/>
  </w:num>
  <w:num w:numId="17" w16cid:durableId="571045753">
    <w:abstractNumId w:val="8"/>
  </w:num>
  <w:num w:numId="18" w16cid:durableId="793865925">
    <w:abstractNumId w:val="11"/>
  </w:num>
  <w:num w:numId="19" w16cid:durableId="13787016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8F0"/>
    <w:rsid w:val="00094067"/>
    <w:rsid w:val="000A4061"/>
    <w:rsid w:val="001C0D2D"/>
    <w:rsid w:val="0021062E"/>
    <w:rsid w:val="002B1081"/>
    <w:rsid w:val="002C07FD"/>
    <w:rsid w:val="002F6A71"/>
    <w:rsid w:val="002F6FE0"/>
    <w:rsid w:val="003C1B62"/>
    <w:rsid w:val="00406CED"/>
    <w:rsid w:val="004A3B86"/>
    <w:rsid w:val="004D2DB6"/>
    <w:rsid w:val="004F035C"/>
    <w:rsid w:val="00511C7E"/>
    <w:rsid w:val="00530438"/>
    <w:rsid w:val="00540377"/>
    <w:rsid w:val="00542065"/>
    <w:rsid w:val="00575558"/>
    <w:rsid w:val="005A6958"/>
    <w:rsid w:val="00627FEA"/>
    <w:rsid w:val="00720C69"/>
    <w:rsid w:val="00774389"/>
    <w:rsid w:val="007A7193"/>
    <w:rsid w:val="007B4F63"/>
    <w:rsid w:val="007F051D"/>
    <w:rsid w:val="00832B38"/>
    <w:rsid w:val="008A46F0"/>
    <w:rsid w:val="00944EAC"/>
    <w:rsid w:val="00AC527F"/>
    <w:rsid w:val="00B038F0"/>
    <w:rsid w:val="00B06A73"/>
    <w:rsid w:val="00B70B6A"/>
    <w:rsid w:val="00B97424"/>
    <w:rsid w:val="00BC2488"/>
    <w:rsid w:val="00C32580"/>
    <w:rsid w:val="00CA2D51"/>
    <w:rsid w:val="00CE1D9C"/>
    <w:rsid w:val="00D36B7F"/>
    <w:rsid w:val="00D627EC"/>
    <w:rsid w:val="00D703CE"/>
    <w:rsid w:val="00D9245E"/>
    <w:rsid w:val="00DA0F96"/>
    <w:rsid w:val="00E33B27"/>
    <w:rsid w:val="00E3637A"/>
    <w:rsid w:val="00E5531A"/>
    <w:rsid w:val="00E979EC"/>
    <w:rsid w:val="00EA572F"/>
    <w:rsid w:val="00ED7116"/>
    <w:rsid w:val="00F2509B"/>
    <w:rsid w:val="00F56EEC"/>
    <w:rsid w:val="00FD1F71"/>
    <w:rsid w:val="00FE385F"/>
    <w:rsid w:val="04E0CF1E"/>
    <w:rsid w:val="06028CED"/>
    <w:rsid w:val="10960C57"/>
    <w:rsid w:val="147CEE03"/>
    <w:rsid w:val="20519E5A"/>
    <w:rsid w:val="244029EC"/>
    <w:rsid w:val="290E26CC"/>
    <w:rsid w:val="2DEFE527"/>
    <w:rsid w:val="328446BC"/>
    <w:rsid w:val="36361B14"/>
    <w:rsid w:val="4DF0E019"/>
    <w:rsid w:val="544918B9"/>
    <w:rsid w:val="54DAA765"/>
    <w:rsid w:val="55BB3D0A"/>
    <w:rsid w:val="5E7F52DD"/>
    <w:rsid w:val="64EC2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D7A226"/>
  <w15:chartTrackingRefBased/>
  <w15:docId w15:val="{9FC508EC-23E5-4DE5-9B13-467BF4CCB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038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038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038F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038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038F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038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038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038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038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038F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B038F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B038F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038F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038F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038F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038F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038F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038F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038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038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038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038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038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038F0"/>
    <w:rPr>
      <w:i/>
      <w:iCs/>
      <w:color w:val="404040" w:themeColor="text1" w:themeTint="BF"/>
    </w:rPr>
  </w:style>
  <w:style w:type="paragraph" w:styleId="Akapitzlist">
    <w:name w:val="List Paragraph"/>
    <w:aliases w:val="Numerowanie,Akapit z listą BS,L1,2 heading,A_wyliczenie,K-P_odwolanie,Akapit z listą5,maz_wyliczenie,opis dzialania,Nagłowek 3,Preambuła,Kolorowa lista — akcent 11,Dot pt,F5 List Paragraph,Recommendation,List Paragraph11,NO"/>
    <w:basedOn w:val="Normalny"/>
    <w:link w:val="AkapitzlistZnak"/>
    <w:uiPriority w:val="99"/>
    <w:qFormat/>
    <w:rsid w:val="00B038F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038F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038F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038F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038F0"/>
    <w:rPr>
      <w:b/>
      <w:bCs/>
      <w:smallCaps/>
      <w:color w:val="0F4761" w:themeColor="accent1" w:themeShade="BF"/>
      <w:spacing w:val="5"/>
    </w:rPr>
  </w:style>
  <w:style w:type="character" w:styleId="Pogrubienie">
    <w:name w:val="Strong"/>
    <w:basedOn w:val="Domylnaczcionkaakapitu"/>
    <w:uiPriority w:val="22"/>
    <w:qFormat/>
    <w:rsid w:val="00B038F0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B03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Uwydatnienie">
    <w:name w:val="Emphasis"/>
    <w:basedOn w:val="Domylnaczcionkaakapitu"/>
    <w:uiPriority w:val="20"/>
    <w:qFormat/>
    <w:rsid w:val="00B038F0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B038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38F0"/>
  </w:style>
  <w:style w:type="paragraph" w:styleId="Stopka">
    <w:name w:val="footer"/>
    <w:basedOn w:val="Normalny"/>
    <w:link w:val="StopkaZnak"/>
    <w:uiPriority w:val="99"/>
    <w:unhideWhenUsed/>
    <w:rsid w:val="00B038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38F0"/>
  </w:style>
  <w:style w:type="character" w:styleId="Odwoaniedokomentarza">
    <w:name w:val="annotation reference"/>
    <w:basedOn w:val="Domylnaczcionkaakapitu"/>
    <w:uiPriority w:val="99"/>
    <w:semiHidden/>
    <w:unhideWhenUsed/>
    <w:rsid w:val="00B038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038F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038F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38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38F0"/>
    <w:rPr>
      <w:b/>
      <w:bCs/>
      <w:sz w:val="20"/>
      <w:szCs w:val="20"/>
    </w:rPr>
  </w:style>
  <w:style w:type="character" w:styleId="Hipercze">
    <w:name w:val="Hyperlink"/>
    <w:uiPriority w:val="99"/>
    <w:unhideWhenUsed/>
    <w:rsid w:val="008A46F0"/>
    <w:rPr>
      <w:color w:val="0563C1"/>
      <w:u w:val="single"/>
    </w:rPr>
  </w:style>
  <w:style w:type="character" w:customStyle="1" w:styleId="AkapitzlistZnak">
    <w:name w:val="Akapit z listą Znak"/>
    <w:aliases w:val="Numerowanie Znak,Akapit z listą BS Znak,L1 Znak,2 heading Znak,A_wyliczenie Znak,K-P_odwolanie Znak,Akapit z listą5 Znak,maz_wyliczenie Znak,opis dzialania Znak,Nagłowek 3 Znak,Preambuła Znak,Kolorowa lista — akcent 11 Znak,NO Znak"/>
    <w:link w:val="Akapitzlist"/>
    <w:uiPriority w:val="99"/>
    <w:qFormat/>
    <w:locked/>
    <w:rsid w:val="008A46F0"/>
  </w:style>
  <w:style w:type="paragraph" w:customStyle="1" w:styleId="Textbody">
    <w:name w:val="Text body"/>
    <w:basedOn w:val="Normalny"/>
    <w:rsid w:val="008A46F0"/>
    <w:pPr>
      <w:suppressAutoHyphens/>
      <w:spacing w:after="0" w:line="240" w:lineRule="auto"/>
      <w:jc w:val="both"/>
      <w:textAlignment w:val="baseline"/>
    </w:pPr>
    <w:rPr>
      <w:rFonts w:ascii="Arial" w:eastAsia="Times New Roman" w:hAnsi="Arial" w:cs="Arial"/>
      <w:kern w:val="1"/>
      <w:sz w:val="20"/>
      <w:lang w:eastAsia="zh-CN"/>
      <w14:ligatures w14:val="none"/>
    </w:rPr>
  </w:style>
  <w:style w:type="character" w:customStyle="1" w:styleId="markedcontent">
    <w:name w:val="markedcontent"/>
    <w:basedOn w:val="Domylnaczcionkaakapitu"/>
    <w:rsid w:val="008A46F0"/>
  </w:style>
  <w:style w:type="paragraph" w:styleId="Poprawka">
    <w:name w:val="Revision"/>
    <w:hidden/>
    <w:uiPriority w:val="99"/>
    <w:semiHidden/>
    <w:rsid w:val="00511C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96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v.pl/web/mswia/lista-osob-i-podmiotow-objetych-sankcjam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c7546b-1e65-4330-830a-e665913d411a">
      <Terms xmlns="http://schemas.microsoft.com/office/infopath/2007/PartnerControls"/>
    </lcf76f155ced4ddcb4097134ff3c332f>
    <TaxCatchAll xmlns="84454a79-485d-42aa-a46b-3e8dd221e304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65430942F0914AB051A6B121F05501" ma:contentTypeVersion="14" ma:contentTypeDescription="Utwórz nowy dokument." ma:contentTypeScope="" ma:versionID="6224fd9699db458e70e1d7af8cab1e9c">
  <xsd:schema xmlns:xsd="http://www.w3.org/2001/XMLSchema" xmlns:xs="http://www.w3.org/2001/XMLSchema" xmlns:p="http://schemas.microsoft.com/office/2006/metadata/properties" xmlns:ns1="http://schemas.microsoft.com/sharepoint/v3" xmlns:ns2="70c7546b-1e65-4330-830a-e665913d411a" xmlns:ns3="84454a79-485d-42aa-a46b-3e8dd221e304" targetNamespace="http://schemas.microsoft.com/office/2006/metadata/properties" ma:root="true" ma:fieldsID="164e9f68c9b7b84d362c1c0dacf2fc75" ns1:_="" ns2:_="" ns3:_="">
    <xsd:import namespace="http://schemas.microsoft.com/sharepoint/v3"/>
    <xsd:import namespace="70c7546b-1e65-4330-830a-e665913d411a"/>
    <xsd:import namespace="84454a79-485d-42aa-a46b-3e8dd221e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c7546b-1e65-4330-830a-e665913d41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62d7330d-870c-431e-b49a-2e31b86dcf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454a79-485d-42aa-a46b-3e8dd221e304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f74f773a-6312-43a5-addb-cc0b72337ee3}" ma:internalName="TaxCatchAll" ma:showField="CatchAllData" ma:web="84454a79-485d-42aa-a46b-3e8dd221e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22BCE4-5569-47EC-8477-4ABF22ED0AB3}">
  <ds:schemaRefs>
    <ds:schemaRef ds:uri="http://schemas.microsoft.com/office/2006/metadata/properties"/>
    <ds:schemaRef ds:uri="http://schemas.microsoft.com/office/infopath/2007/PartnerControls"/>
    <ds:schemaRef ds:uri="70c7546b-1e65-4330-830a-e665913d411a"/>
    <ds:schemaRef ds:uri="84454a79-485d-42aa-a46b-3e8dd221e304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13657D7-7AE8-40A6-A48E-4D07DC5DA78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BF7CF2-B033-4C2D-B44C-84FD7605F3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52CFF6-5CA2-468E-AEBB-2D87D69115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c7546b-1e65-4330-830a-e665913d411a"/>
    <ds:schemaRef ds:uri="84454a79-485d-42aa-a46b-3e8dd221e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1928</Words>
  <Characters>11574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Ples</dc:creator>
  <cp:keywords/>
  <dc:description/>
  <cp:lastModifiedBy>Anna Cybulska</cp:lastModifiedBy>
  <cp:revision>23</cp:revision>
  <dcterms:created xsi:type="dcterms:W3CDTF">2025-11-03T21:14:00Z</dcterms:created>
  <dcterms:modified xsi:type="dcterms:W3CDTF">2026-01-16T09:41:00Z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0x0101005B65430942F0914AB051A6B121F05501</vt:lpwstr>
  </property>
  <property fmtid="{D5CDD505-2E9C-101B-9397-08002B2CF9AE}" pid="3" name="MediaServiceImageTags">
    <vt:lpwstr/>
  </property>
  <property fmtid="{D5CDD505-2E9C-101B-9397-08002B2CF9AE}" pid="4" name="Order">
    <vt:r8>267100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